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2019年民办学校公益普法宣传活动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各区普法安排表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540"/>
        <w:gridCol w:w="183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8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区</w:t>
            </w:r>
          </w:p>
        </w:tc>
        <w:tc>
          <w:tcPr>
            <w:tcW w:w="354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普法宣传责任单位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联络人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思明区</w:t>
            </w:r>
          </w:p>
        </w:tc>
        <w:tc>
          <w:tcPr>
            <w:tcW w:w="354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厦门大学法学院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卢毅婷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13860138737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湖里区</w:t>
            </w:r>
          </w:p>
        </w:tc>
        <w:tc>
          <w:tcPr>
            <w:tcW w:w="354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旭丰律师事务所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柳冰玲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13696999124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集美区</w:t>
            </w:r>
          </w:p>
        </w:tc>
        <w:tc>
          <w:tcPr>
            <w:tcW w:w="354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集美大学教师教育学院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冯庆福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13860497386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海沧区</w:t>
            </w:r>
          </w:p>
        </w:tc>
        <w:tc>
          <w:tcPr>
            <w:tcW w:w="354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旭丰律师事务所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柳冰玲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13696999124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同安区</w:t>
            </w:r>
          </w:p>
        </w:tc>
        <w:tc>
          <w:tcPr>
            <w:tcW w:w="354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集美大学教师教育学院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冯庆福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13860497386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翔安区</w:t>
            </w:r>
          </w:p>
        </w:tc>
        <w:tc>
          <w:tcPr>
            <w:tcW w:w="354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集美大学教师教育学院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冯庆福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-1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13860497386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各区教育局负责联系各普法宣传责任单位，统筹安排本辖区民办学校的普法宣传活动，普法主题可从以下列表中选择。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普法主题列表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一、厦门大学法学院普法主题：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我们的行为受到哪些“约束”？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文明背后是法律问题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谁来保护未成年人？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保护我们的三大机关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宪法：基本原理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宪法：国徽、国歌、国旗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宪法：保护自己受教育的权利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交通安全谨记于心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拒绝校园暴力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民法中的诚实信用原则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我有哪些民事权利之财产权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我有哪些民事权利之人格权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什么样的合同才有效？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保护我的智力成果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保护环境，人人有责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侵权责任由谁承担？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动物是人类的好朋友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爱护公共设施人人有责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食品安全很重要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文明上网从我做起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网购中的权利与义务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网络是把双刃剑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诚信考试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谨防诈骗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假期安全教育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二、旭丰律师事务所普法主题：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1.针对幼儿园老师讲座的主题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幼儿园安全事故类型和处理办法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教师执业风险及防范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以案释法、依法从教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2.针对小学、初中的学生讲座的主题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做守法学生，创平安校园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青少年的法律责任及自我防范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拒绝校园欺凌、构建和谐校园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我远离犯罪，犯罪远离我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《宪法》就在我身边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3.针对小学、初中的老师讲座的主题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校园暴力的预防和应对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学生伤害事故的处理和防控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教师执业风险及防范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做一名知法、懂法、守法的人民教师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三、</w:t>
      </w:r>
      <w:bookmarkStart w:id="0" w:name="_GoBack"/>
      <w:bookmarkEnd w:id="0"/>
      <w:r>
        <w:rPr>
          <w:rFonts w:hint="eastAsia"/>
          <w:b/>
          <w:bCs/>
          <w:lang w:eastAsia="zh-CN"/>
        </w:rPr>
        <w:t>集美大学教师教育学院普法主题：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生活中的知识产权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生活中的宪法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保护权益，消费无忧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身边的刑法知识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偏差行为儿童的社会工作介入实践（针对教师）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我的生活我做主——做遵纪守法的好少年（针对学生）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校园欺凌的防范与治理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小学生法律意识的培养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如何做一个合格小公民</w:t>
            </w:r>
          </w:p>
        </w:tc>
      </w:tr>
    </w:tbl>
    <w:p>
      <w:pPr>
        <w:rPr>
          <w:rFonts w:hint="eastAsia"/>
          <w:b/>
          <w:bCs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83F55"/>
    <w:rsid w:val="091403BE"/>
    <w:rsid w:val="0D3011E6"/>
    <w:rsid w:val="31EF0CD3"/>
    <w:rsid w:val="33D9781B"/>
    <w:rsid w:val="40477995"/>
    <w:rsid w:val="55C83F55"/>
    <w:rsid w:val="57231596"/>
    <w:rsid w:val="6C096CCA"/>
    <w:rsid w:val="6F6C3CB9"/>
    <w:rsid w:val="767433A7"/>
    <w:rsid w:val="788C29F6"/>
    <w:rsid w:val="7C42389F"/>
    <w:rsid w:val="7E6E03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2019-04-25T08:39:00Z</dcterms:created>
  <dc:creator>Administrator</dc:creator>
  <cp:lastModifiedBy>Administrator</cp:lastModifiedBy>
  <dcterms:modified xsi:type="dcterms:W3CDTF">2019-04-30T02:22:41Z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